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2A" w:rsidRPr="00077A37" w:rsidRDefault="00D54E2A" w:rsidP="00D54E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</w:pPr>
      <w:r w:rsidRPr="00077A37"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  <w:t>3</w:t>
      </w:r>
      <w:r w:rsidRPr="00077A3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 w:eastAsia="fr-FR"/>
        </w:rPr>
        <w:t>ème</w:t>
      </w:r>
      <w:r w:rsidRPr="00077A37"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  <w:t xml:space="preserve"> Projet de Développement des Exportations</w:t>
      </w:r>
      <w:r w:rsidR="00203E51" w:rsidRPr="00077A37"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  <w:t xml:space="preserve"> PDE3</w:t>
      </w:r>
    </w:p>
    <w:p w:rsidR="00D54E2A" w:rsidRPr="00077A37" w:rsidRDefault="00D54E2A" w:rsidP="00835B98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</w:pPr>
      <w:r w:rsidRPr="00077A37"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  <w:t>Centre de Promotion des Exportations</w:t>
      </w:r>
    </w:p>
    <w:p w:rsidR="003D0AFB" w:rsidRPr="00077A37" w:rsidRDefault="00BC17AB" w:rsidP="000057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  <w:lang w:val="fr-FR" w:eastAsia="fr-FR"/>
        </w:rPr>
      </w:pPr>
      <w:r>
        <w:rPr>
          <w:rFonts w:asciiTheme="minorHAnsi" w:hAnsiTheme="minorHAnsi" w:cstheme="minorHAnsi"/>
          <w:b/>
          <w:bCs/>
          <w:szCs w:val="24"/>
          <w:lang w:val="fr-FR" w:eastAsia="fr-FR"/>
        </w:rPr>
        <w:t>AVIS</w:t>
      </w:r>
      <w:r w:rsidR="00234749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 DE MANIFESTATION</w:t>
      </w:r>
      <w:r w:rsidR="003D0AFB" w:rsidRPr="00077A37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 D’INTERET</w:t>
      </w:r>
    </w:p>
    <w:p w:rsidR="00BC17AB" w:rsidRPr="00BC17AB" w:rsidRDefault="00005778" w:rsidP="00BC17AB">
      <w:pPr>
        <w:jc w:val="center"/>
        <w:rPr>
          <w:rFonts w:asciiTheme="minorHAnsi" w:hAnsiTheme="minorHAnsi" w:cstheme="minorHAnsi"/>
          <w:b/>
          <w:bCs/>
          <w:szCs w:val="24"/>
          <w:lang w:val="fr-FR" w:eastAsia="fr-FR"/>
        </w:rPr>
      </w:pPr>
      <w:r w:rsidRPr="00077A37">
        <w:rPr>
          <w:rFonts w:asciiTheme="minorHAnsi" w:hAnsiTheme="minorHAnsi" w:cstheme="minorHAnsi"/>
          <w:b/>
          <w:bCs/>
          <w:szCs w:val="24"/>
          <w:lang w:val="fr-FR" w:eastAsia="fr-FR"/>
        </w:rPr>
        <w:t>Sélection d</w:t>
      </w:r>
      <w:r w:rsidR="00AB721F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’une </w:t>
      </w:r>
      <w:r w:rsidR="002D785C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firme de </w:t>
      </w:r>
      <w:r w:rsidRPr="00077A37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consultants </w:t>
      </w:r>
      <w:r w:rsidR="00707646" w:rsidRPr="00077A37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pour </w:t>
      </w:r>
      <w:r w:rsidR="00BC17AB" w:rsidRPr="00BC17AB">
        <w:rPr>
          <w:rFonts w:asciiTheme="minorHAnsi" w:hAnsiTheme="minorHAnsi" w:cstheme="minorHAnsi"/>
          <w:b/>
          <w:bCs/>
          <w:szCs w:val="24"/>
          <w:lang w:val="fr-FR" w:eastAsia="fr-FR"/>
        </w:rPr>
        <w:t xml:space="preserve">l’élaboration d’une étude pour la Refonte du </w:t>
      </w:r>
    </w:p>
    <w:p w:rsidR="00BC17AB" w:rsidRPr="00BC17AB" w:rsidRDefault="00BC17AB" w:rsidP="00BC17AB">
      <w:pPr>
        <w:jc w:val="center"/>
        <w:rPr>
          <w:rFonts w:asciiTheme="minorHAnsi" w:hAnsiTheme="minorHAnsi" w:cstheme="minorHAnsi"/>
          <w:b/>
          <w:bCs/>
          <w:szCs w:val="24"/>
          <w:lang w:val="fr-FR" w:eastAsia="fr-FR"/>
        </w:rPr>
      </w:pPr>
      <w:r w:rsidRPr="00BC17AB">
        <w:rPr>
          <w:rFonts w:asciiTheme="minorHAnsi" w:hAnsiTheme="minorHAnsi" w:cstheme="minorHAnsi"/>
          <w:b/>
          <w:bCs/>
          <w:szCs w:val="24"/>
          <w:lang w:val="fr-FR" w:eastAsia="fr-FR"/>
        </w:rPr>
        <w:t>Fonds de Promotion des Exportations (FOPRODEX)</w:t>
      </w:r>
    </w:p>
    <w:p w:rsidR="007950A6" w:rsidRDefault="007950A6" w:rsidP="007076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</w:pPr>
    </w:p>
    <w:p w:rsidR="0018555A" w:rsidRPr="00077A37" w:rsidRDefault="0018555A" w:rsidP="007076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fr-FR" w:eastAsia="fr-FR"/>
        </w:rPr>
      </w:pPr>
    </w:p>
    <w:p w:rsidR="00BC17AB" w:rsidRPr="00BC17AB" w:rsidRDefault="009A5802" w:rsidP="00BC17AB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077A37">
        <w:rPr>
          <w:rFonts w:asciiTheme="minorHAnsi" w:hAnsiTheme="minorHAnsi" w:cstheme="minorHAnsi"/>
          <w:sz w:val="20"/>
          <w:lang w:val="fr-FR"/>
        </w:rPr>
        <w:t xml:space="preserve">Dans le cadre de la mise en œuvre du </w:t>
      </w:r>
      <w:r w:rsidR="004F21AD" w:rsidRPr="00077A37">
        <w:rPr>
          <w:rFonts w:asciiTheme="minorHAnsi" w:hAnsiTheme="minorHAnsi" w:cstheme="minorHAnsi"/>
          <w:sz w:val="20"/>
          <w:lang w:val="fr-FR"/>
        </w:rPr>
        <w:t>3</w:t>
      </w:r>
      <w:r w:rsidR="004F21AD" w:rsidRPr="00BC17AB">
        <w:rPr>
          <w:rFonts w:asciiTheme="minorHAnsi" w:hAnsiTheme="minorHAnsi" w:cstheme="minorHAnsi"/>
          <w:sz w:val="20"/>
          <w:vertAlign w:val="superscript"/>
          <w:lang w:val="fr-FR"/>
        </w:rPr>
        <w:t>ème</w:t>
      </w:r>
      <w:r w:rsidR="00AB721F">
        <w:rPr>
          <w:rFonts w:asciiTheme="minorHAnsi" w:hAnsiTheme="minorHAnsi" w:cstheme="minorHAnsi"/>
          <w:sz w:val="20"/>
          <w:vertAlign w:val="superscript"/>
          <w:lang w:val="fr-FR"/>
        </w:rPr>
        <w:t xml:space="preserve"> </w:t>
      </w:r>
      <w:r w:rsidR="00D757CE" w:rsidRPr="00077A37">
        <w:rPr>
          <w:rFonts w:asciiTheme="minorHAnsi" w:hAnsiTheme="minorHAnsi" w:cstheme="minorHAnsi"/>
          <w:sz w:val="20"/>
          <w:lang w:val="fr-FR"/>
        </w:rPr>
        <w:t>Projet de Développement des E</w:t>
      </w:r>
      <w:r w:rsidRPr="00077A37">
        <w:rPr>
          <w:rFonts w:asciiTheme="minorHAnsi" w:hAnsiTheme="minorHAnsi" w:cstheme="minorHAnsi"/>
          <w:sz w:val="20"/>
          <w:lang w:val="fr-FR"/>
        </w:rPr>
        <w:t>xportations</w:t>
      </w:r>
      <w:r w:rsidR="00AB721F">
        <w:rPr>
          <w:rFonts w:asciiTheme="minorHAnsi" w:hAnsiTheme="minorHAnsi" w:cstheme="minorHAnsi"/>
          <w:sz w:val="20"/>
          <w:lang w:val="fr-FR"/>
        </w:rPr>
        <w:t xml:space="preserve"> 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(PDE 3) financé par </w:t>
      </w:r>
      <w:r w:rsidR="00645393">
        <w:rPr>
          <w:rFonts w:asciiTheme="minorHAnsi" w:hAnsiTheme="minorHAnsi" w:cstheme="minorHAnsi"/>
          <w:sz w:val="20"/>
          <w:lang w:val="fr-FR"/>
        </w:rPr>
        <w:t xml:space="preserve">un prêt de </w:t>
      </w:r>
      <w:r w:rsidRPr="00077A37">
        <w:rPr>
          <w:rFonts w:asciiTheme="minorHAnsi" w:hAnsiTheme="minorHAnsi" w:cstheme="minorHAnsi"/>
          <w:sz w:val="20"/>
          <w:lang w:val="fr-FR"/>
        </w:rPr>
        <w:t>la Banque Internationale de Reconstruction et le Développement (BIRD</w:t>
      </w:r>
      <w:r w:rsidR="005F7883" w:rsidRPr="00077A37">
        <w:rPr>
          <w:rFonts w:asciiTheme="minorHAnsi" w:hAnsiTheme="minorHAnsi" w:cstheme="minorHAnsi"/>
          <w:sz w:val="20"/>
          <w:lang w:val="fr-FR"/>
        </w:rPr>
        <w:t>),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 le CEPEX</w:t>
      </w:r>
      <w:r w:rsidR="00AB721F">
        <w:rPr>
          <w:rFonts w:asciiTheme="minorHAnsi" w:hAnsiTheme="minorHAnsi" w:cstheme="minorHAnsi"/>
          <w:sz w:val="20"/>
          <w:lang w:val="fr-FR"/>
        </w:rPr>
        <w:t xml:space="preserve"> </w:t>
      </w:r>
      <w:r w:rsidR="00B429EB">
        <w:rPr>
          <w:rFonts w:asciiTheme="minorHAnsi" w:hAnsiTheme="minorHAnsi" w:cstheme="minorHAnsi"/>
          <w:sz w:val="20"/>
          <w:lang w:val="fr-FR"/>
        </w:rPr>
        <w:t>lance un appel à candidature pour la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 sélection et </w:t>
      </w:r>
      <w:r w:rsidR="00886B0D">
        <w:rPr>
          <w:rFonts w:asciiTheme="minorHAnsi" w:hAnsiTheme="minorHAnsi" w:cstheme="minorHAnsi"/>
          <w:sz w:val="20"/>
          <w:lang w:val="fr-FR"/>
        </w:rPr>
        <w:t>l’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emploi </w:t>
      </w:r>
      <w:r w:rsidR="00B429EB">
        <w:rPr>
          <w:rFonts w:asciiTheme="minorHAnsi" w:hAnsiTheme="minorHAnsi" w:cstheme="minorHAnsi"/>
          <w:sz w:val="20"/>
          <w:lang w:val="fr-FR"/>
        </w:rPr>
        <w:t>d’une firme de consultants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 pour assurer </w:t>
      </w:r>
      <w:r w:rsidR="00BC17AB" w:rsidRPr="00BC17AB">
        <w:rPr>
          <w:rFonts w:asciiTheme="minorHAnsi" w:hAnsiTheme="minorHAnsi" w:cstheme="minorHAnsi"/>
          <w:sz w:val="20"/>
          <w:lang w:val="fr-FR"/>
        </w:rPr>
        <w:t>l’élaboration d’une étude pour la Refonte du</w:t>
      </w:r>
      <w:r w:rsidR="00AB721F">
        <w:rPr>
          <w:rFonts w:asciiTheme="minorHAnsi" w:hAnsiTheme="minorHAnsi" w:cstheme="minorHAnsi"/>
          <w:sz w:val="20"/>
          <w:lang w:val="fr-FR"/>
        </w:rPr>
        <w:t xml:space="preserve"> </w:t>
      </w:r>
      <w:r w:rsidR="00BC17AB" w:rsidRPr="00BC17AB">
        <w:rPr>
          <w:rFonts w:asciiTheme="minorHAnsi" w:hAnsiTheme="minorHAnsi" w:cstheme="minorHAnsi"/>
          <w:sz w:val="20"/>
          <w:lang w:val="fr-FR"/>
        </w:rPr>
        <w:t>Fonds de Promotion des Exportations (FOPRODEX)</w:t>
      </w:r>
      <w:r w:rsidR="00BC17AB">
        <w:rPr>
          <w:rFonts w:asciiTheme="minorHAnsi" w:hAnsiTheme="minorHAnsi" w:cstheme="minorHAnsi"/>
          <w:sz w:val="20"/>
          <w:lang w:val="fr-FR"/>
        </w:rPr>
        <w:t>.</w:t>
      </w:r>
    </w:p>
    <w:p w:rsidR="00BA40BC" w:rsidRDefault="00BA40BC" w:rsidP="00BC17AB">
      <w:pPr>
        <w:jc w:val="lowKashida"/>
        <w:rPr>
          <w:rFonts w:asciiTheme="minorHAnsi" w:hAnsiTheme="minorHAnsi" w:cstheme="minorHAnsi"/>
          <w:sz w:val="20"/>
          <w:lang w:val="fr-FR"/>
        </w:rPr>
      </w:pPr>
    </w:p>
    <w:p w:rsidR="00A75D63" w:rsidRDefault="00A75D63" w:rsidP="00A75D63">
      <w:pPr>
        <w:jc w:val="lowKashida"/>
        <w:rPr>
          <w:rFonts w:asciiTheme="minorHAnsi" w:hAnsiTheme="minorHAnsi" w:cstheme="minorHAnsi"/>
          <w:b/>
          <w:bCs/>
          <w:sz w:val="20"/>
          <w:lang w:val="fr-FR"/>
        </w:rPr>
      </w:pPr>
      <w:r w:rsidRPr="00077A37">
        <w:rPr>
          <w:rFonts w:asciiTheme="minorHAnsi" w:hAnsiTheme="minorHAnsi" w:cstheme="minorHAnsi"/>
          <w:sz w:val="20"/>
          <w:lang w:val="fr-FR"/>
        </w:rPr>
        <w:t>Les dossiers de candidature des firmes de consultants intéressé</w:t>
      </w:r>
      <w:r w:rsidRPr="009B60B1">
        <w:rPr>
          <w:rFonts w:asciiTheme="minorHAnsi" w:hAnsiTheme="minorHAnsi" w:cstheme="minorHAnsi"/>
          <w:sz w:val="20"/>
          <w:lang w:val="fr-FR"/>
        </w:rPr>
        <w:t>e</w:t>
      </w:r>
      <w:r w:rsidRPr="00077A37">
        <w:rPr>
          <w:rFonts w:asciiTheme="minorHAnsi" w:hAnsiTheme="minorHAnsi" w:cstheme="minorHAnsi"/>
          <w:sz w:val="20"/>
          <w:lang w:val="fr-FR"/>
        </w:rPr>
        <w:t>s doivent être présentés dans une enveloppe fermée portant la mention </w:t>
      </w:r>
      <w:r w:rsidRPr="00077A37">
        <w:rPr>
          <w:rFonts w:asciiTheme="minorHAnsi" w:hAnsiTheme="minorHAnsi" w:cstheme="minorHAnsi"/>
          <w:b/>
          <w:bCs/>
          <w:sz w:val="20"/>
          <w:lang w:val="fr-FR"/>
        </w:rPr>
        <w:t>« A ne pas ouvrir, demande de manifestation d’intérêt</w:t>
      </w:r>
      <w:r w:rsidR="00AB721F">
        <w:rPr>
          <w:rFonts w:asciiTheme="minorHAnsi" w:hAnsiTheme="minorHAnsi" w:cstheme="minorHAnsi"/>
          <w:b/>
          <w:bCs/>
          <w:sz w:val="20"/>
          <w:lang w:val="fr-FR"/>
        </w:rPr>
        <w:t>s pour</w:t>
      </w:r>
      <w:r w:rsidRPr="00077A37">
        <w:rPr>
          <w:rFonts w:asciiTheme="minorHAnsi" w:hAnsiTheme="minorHAnsi" w:cstheme="minorHAnsi"/>
          <w:b/>
          <w:bCs/>
          <w:sz w:val="20"/>
          <w:lang w:val="fr-FR"/>
        </w:rPr>
        <w:t xml:space="preserve"> </w:t>
      </w:r>
      <w:r w:rsidRPr="00BC17AB">
        <w:rPr>
          <w:rFonts w:asciiTheme="minorHAnsi" w:hAnsiTheme="minorHAnsi" w:cstheme="minorHAnsi"/>
          <w:b/>
          <w:bCs/>
          <w:sz w:val="20"/>
          <w:lang w:val="fr-FR"/>
        </w:rPr>
        <w:t>la sélection et l’emploi d’une firme de consultants pour assurer l’élaboration d’une étude pour la Refonte du Fonds de Promotion des Exportations (FOPRODEX)</w:t>
      </w:r>
      <w:r w:rsidRPr="00077A37">
        <w:rPr>
          <w:rFonts w:asciiTheme="minorHAnsi" w:hAnsiTheme="minorHAnsi" w:cstheme="minorHAnsi"/>
          <w:b/>
          <w:bCs/>
          <w:sz w:val="20"/>
          <w:lang w:val="fr-FR"/>
        </w:rPr>
        <w:t>»</w:t>
      </w:r>
      <w:r>
        <w:rPr>
          <w:rFonts w:asciiTheme="minorHAnsi" w:hAnsiTheme="minorHAnsi" w:cstheme="minorHAnsi"/>
          <w:b/>
          <w:bCs/>
          <w:sz w:val="20"/>
          <w:lang w:val="fr-FR"/>
        </w:rPr>
        <w:t>.</w:t>
      </w:r>
    </w:p>
    <w:p w:rsidR="00A75D63" w:rsidRPr="00077A37" w:rsidRDefault="00A75D63" w:rsidP="00A75D63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BC17AB">
        <w:rPr>
          <w:rFonts w:asciiTheme="minorHAnsi" w:hAnsiTheme="minorHAnsi" w:cstheme="minorHAnsi"/>
          <w:sz w:val="20"/>
          <w:lang w:val="fr-FR"/>
        </w:rPr>
        <w:t>Le dossier de candidature doit comporter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 les pièces suivantes </w:t>
      </w:r>
      <w:r>
        <w:rPr>
          <w:rFonts w:asciiTheme="minorHAnsi" w:hAnsiTheme="minorHAnsi" w:cstheme="minorHAnsi"/>
          <w:sz w:val="20"/>
          <w:lang w:val="fr-FR"/>
        </w:rPr>
        <w:t>(en format papier et numérique)</w:t>
      </w:r>
      <w:r w:rsidRPr="00077A37">
        <w:rPr>
          <w:rFonts w:asciiTheme="minorHAnsi" w:hAnsiTheme="minorHAnsi" w:cstheme="minorHAnsi"/>
          <w:sz w:val="20"/>
          <w:lang w:val="fr-FR"/>
        </w:rPr>
        <w:t>:</w:t>
      </w:r>
    </w:p>
    <w:p w:rsidR="00A75D63" w:rsidRPr="00BC17AB" w:rsidRDefault="00A75D63" w:rsidP="00A75D63">
      <w:pPr>
        <w:numPr>
          <w:ilvl w:val="0"/>
          <w:numId w:val="5"/>
        </w:numPr>
        <w:jc w:val="lowKashida"/>
        <w:rPr>
          <w:rFonts w:asciiTheme="minorHAnsi" w:hAnsiTheme="minorHAnsi" w:cstheme="minorHAnsi"/>
          <w:sz w:val="20"/>
          <w:lang w:val="fr-FR"/>
        </w:rPr>
      </w:pPr>
      <w:r w:rsidRPr="00BC17AB">
        <w:rPr>
          <w:rFonts w:asciiTheme="minorHAnsi" w:hAnsiTheme="minorHAnsi" w:cstheme="minorHAnsi"/>
          <w:sz w:val="20"/>
          <w:lang w:val="fr-FR"/>
        </w:rPr>
        <w:t>Une lettre de manifestation d’intérêt signée ne dépassant pas 2 pages.</w:t>
      </w:r>
    </w:p>
    <w:p w:rsidR="00A75D63" w:rsidRPr="00BC17AB" w:rsidRDefault="00A75D63" w:rsidP="00A75D63">
      <w:pPr>
        <w:numPr>
          <w:ilvl w:val="0"/>
          <w:numId w:val="5"/>
        </w:numPr>
        <w:jc w:val="lowKashida"/>
        <w:rPr>
          <w:rFonts w:asciiTheme="minorHAnsi" w:hAnsiTheme="minorHAnsi" w:cstheme="minorHAnsi"/>
          <w:sz w:val="20"/>
          <w:lang w:val="fr-FR"/>
        </w:rPr>
      </w:pPr>
      <w:r w:rsidRPr="00BC17AB">
        <w:rPr>
          <w:rFonts w:asciiTheme="minorHAnsi" w:hAnsiTheme="minorHAnsi" w:cstheme="minorHAnsi"/>
          <w:sz w:val="20"/>
          <w:lang w:val="fr-FR"/>
        </w:rPr>
        <w:t xml:space="preserve">Une présentation générale du bureau incluant le nombre du personnel permanent, le chiffre d’affaire pour les 3 dernières années, etc. </w:t>
      </w:r>
    </w:p>
    <w:p w:rsidR="00A75D63" w:rsidRPr="00BC17AB" w:rsidRDefault="00A75D63" w:rsidP="00A75D63">
      <w:pPr>
        <w:numPr>
          <w:ilvl w:val="0"/>
          <w:numId w:val="5"/>
        </w:numPr>
        <w:jc w:val="lowKashida"/>
        <w:rPr>
          <w:rFonts w:asciiTheme="minorHAnsi" w:hAnsiTheme="minorHAnsi" w:cstheme="minorHAnsi"/>
          <w:sz w:val="20"/>
          <w:lang w:val="fr-FR"/>
        </w:rPr>
      </w:pPr>
      <w:r w:rsidRPr="00BC17AB">
        <w:rPr>
          <w:rFonts w:asciiTheme="minorHAnsi" w:hAnsiTheme="minorHAnsi" w:cstheme="minorHAnsi"/>
          <w:sz w:val="20"/>
          <w:lang w:val="fr-FR"/>
        </w:rPr>
        <w:t>L’expérience du bureau pour des missions similaires (selon l’annexe joint aux TdR</w:t>
      </w:r>
      <w:r w:rsidR="00814D75">
        <w:rPr>
          <w:rFonts w:asciiTheme="minorHAnsi" w:hAnsiTheme="minorHAnsi" w:cstheme="minorHAnsi"/>
          <w:sz w:val="20"/>
          <w:lang w:val="fr-FR"/>
        </w:rPr>
        <w:t>s</w:t>
      </w:r>
      <w:r w:rsidRPr="00BC17AB">
        <w:rPr>
          <w:rFonts w:asciiTheme="minorHAnsi" w:hAnsiTheme="minorHAnsi" w:cstheme="minorHAnsi"/>
          <w:sz w:val="20"/>
          <w:lang w:val="fr-FR"/>
        </w:rPr>
        <w:t>).</w:t>
      </w:r>
    </w:p>
    <w:p w:rsidR="00A75D63" w:rsidRPr="00BC17AB" w:rsidRDefault="00A75D63" w:rsidP="00A75D63">
      <w:pPr>
        <w:numPr>
          <w:ilvl w:val="0"/>
          <w:numId w:val="5"/>
        </w:numPr>
        <w:jc w:val="lowKashida"/>
        <w:rPr>
          <w:rFonts w:asciiTheme="minorHAnsi" w:hAnsiTheme="minorHAnsi" w:cstheme="minorHAnsi"/>
          <w:sz w:val="20"/>
          <w:lang w:val="fr-FR"/>
        </w:rPr>
      </w:pPr>
      <w:r w:rsidRPr="00BC17AB">
        <w:rPr>
          <w:rFonts w:asciiTheme="minorHAnsi" w:hAnsiTheme="minorHAnsi" w:cstheme="minorHAnsi"/>
          <w:sz w:val="20"/>
          <w:lang w:val="fr-FR"/>
        </w:rPr>
        <w:t>Toute référence ou information utile pour évaluer la capacité du bureau à exécuter la mission avec le niveau requis de qualité et dans les délais exigés.</w:t>
      </w:r>
    </w:p>
    <w:p w:rsidR="0018555A" w:rsidRDefault="0018555A" w:rsidP="00A75D63">
      <w:pPr>
        <w:jc w:val="lowKashida"/>
        <w:rPr>
          <w:rFonts w:asciiTheme="minorHAnsi" w:hAnsiTheme="minorHAnsi" w:cstheme="minorHAnsi"/>
          <w:sz w:val="20"/>
          <w:lang w:val="fr-FR"/>
        </w:rPr>
      </w:pPr>
    </w:p>
    <w:p w:rsidR="00A75D63" w:rsidRPr="00077A37" w:rsidRDefault="00A75D63" w:rsidP="00AB721F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077A37">
        <w:rPr>
          <w:rFonts w:asciiTheme="minorHAnsi" w:hAnsiTheme="minorHAnsi" w:cstheme="minorHAnsi"/>
          <w:sz w:val="20"/>
          <w:lang w:val="fr-FR"/>
        </w:rPr>
        <w:t>Les critères de sélection sont </w:t>
      </w:r>
      <w:r w:rsidR="00AB721F">
        <w:rPr>
          <w:rFonts w:asciiTheme="minorHAnsi" w:hAnsiTheme="minorHAnsi" w:cstheme="minorHAnsi"/>
          <w:sz w:val="20"/>
          <w:lang w:val="fr-FR"/>
        </w:rPr>
        <w:t xml:space="preserve">les suivants 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: 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 xml:space="preserve">expérience dans l’assistance, la réforme et la restructuration de dispositifs d’appui financiers ou de structures similaires 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>expérience et connaissance confirmée</w:t>
      </w:r>
      <w:r w:rsidR="00814D75">
        <w:rPr>
          <w:rFonts w:asciiTheme="minorHAnsi" w:hAnsiTheme="minorHAnsi" w:cstheme="minorHAnsi"/>
          <w:sz w:val="20"/>
        </w:rPr>
        <w:t>s</w:t>
      </w:r>
      <w:r w:rsidRPr="00A75D63">
        <w:rPr>
          <w:rFonts w:asciiTheme="minorHAnsi" w:hAnsiTheme="minorHAnsi" w:cstheme="minorHAnsi"/>
          <w:sz w:val="20"/>
        </w:rPr>
        <w:t xml:space="preserve"> des instruments et mécanismes d’appui et de développement des exportations ; 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>expérience dans l’élaboration de stratégies d’exportation et stratégies industrielles ;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>expérience dans l’élaboration d’études et d’analyses comparatives (benchmarking) dans le domaine du développement des exportations ;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 xml:space="preserve">expérience et connaissance </w:t>
      </w:r>
      <w:r w:rsidR="00814D75">
        <w:rPr>
          <w:rFonts w:asciiTheme="minorHAnsi" w:hAnsiTheme="minorHAnsi" w:cstheme="minorHAnsi"/>
          <w:sz w:val="20"/>
        </w:rPr>
        <w:t>du</w:t>
      </w:r>
      <w:r w:rsidRPr="00A75D63">
        <w:rPr>
          <w:rFonts w:asciiTheme="minorHAnsi" w:hAnsiTheme="minorHAnsi" w:cstheme="minorHAnsi"/>
          <w:sz w:val="20"/>
        </w:rPr>
        <w:t xml:space="preserve"> développement des chaines de valeurs et des clusters</w:t>
      </w:r>
      <w:r w:rsidR="00AB721F">
        <w:rPr>
          <w:rFonts w:asciiTheme="minorHAnsi" w:hAnsiTheme="minorHAnsi" w:cstheme="minorHAnsi"/>
          <w:sz w:val="20"/>
        </w:rPr>
        <w:t> ;</w:t>
      </w:r>
      <w:r w:rsidRPr="00A75D63">
        <w:rPr>
          <w:rFonts w:asciiTheme="minorHAnsi" w:hAnsiTheme="minorHAnsi" w:cstheme="minorHAnsi"/>
          <w:sz w:val="20"/>
        </w:rPr>
        <w:t xml:space="preserve"> </w:t>
      </w:r>
    </w:p>
    <w:p w:rsidR="00A75D63" w:rsidRPr="00A75D63" w:rsidRDefault="00A75D63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 w:rsidRPr="00A75D63">
        <w:rPr>
          <w:rFonts w:asciiTheme="minorHAnsi" w:hAnsiTheme="minorHAnsi" w:cstheme="minorHAnsi"/>
          <w:sz w:val="20"/>
        </w:rPr>
        <w:t>expérience dans la conduite de Dialogues Public Privé</w:t>
      </w:r>
      <w:r w:rsidR="00AB721F">
        <w:rPr>
          <w:rFonts w:asciiTheme="minorHAnsi" w:hAnsiTheme="minorHAnsi" w:cstheme="minorHAnsi"/>
          <w:sz w:val="20"/>
        </w:rPr>
        <w:t> ;</w:t>
      </w:r>
    </w:p>
    <w:p w:rsidR="00A75D63" w:rsidRPr="00A75D63" w:rsidRDefault="00AB721F" w:rsidP="00A75D63">
      <w:pPr>
        <w:pStyle w:val="Paragraphedeliste"/>
        <w:numPr>
          <w:ilvl w:val="0"/>
          <w:numId w:val="9"/>
        </w:numPr>
        <w:jc w:val="lowKashid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expérience effectuée avec des Organismes de Promotion du C</w:t>
      </w:r>
      <w:r w:rsidR="00A75D63" w:rsidRPr="00A75D63">
        <w:rPr>
          <w:rFonts w:asciiTheme="minorHAnsi" w:hAnsiTheme="minorHAnsi" w:cstheme="minorHAnsi"/>
          <w:sz w:val="20"/>
        </w:rPr>
        <w:t>ommerce (OPC) serait un atout.</w:t>
      </w:r>
    </w:p>
    <w:p w:rsidR="00A75D63" w:rsidRDefault="00A75D63" w:rsidP="00A75D63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077A37">
        <w:rPr>
          <w:rFonts w:asciiTheme="minorHAnsi" w:hAnsiTheme="minorHAnsi" w:cstheme="minorHAnsi"/>
          <w:sz w:val="20"/>
          <w:lang w:val="fr-FR"/>
        </w:rPr>
        <w:t>Les firmes de consultants seront sélectionné</w:t>
      </w:r>
      <w:r>
        <w:rPr>
          <w:rFonts w:asciiTheme="minorHAnsi" w:hAnsiTheme="minorHAnsi" w:cstheme="minorHAnsi"/>
          <w:sz w:val="20"/>
          <w:lang w:val="fr-FR"/>
        </w:rPr>
        <w:t>e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s selon la méthode </w:t>
      </w:r>
      <w:r>
        <w:rPr>
          <w:rFonts w:asciiTheme="minorHAnsi" w:hAnsiTheme="minorHAnsi" w:cstheme="minorHAnsi"/>
          <w:sz w:val="20"/>
          <w:lang w:val="fr-FR"/>
        </w:rPr>
        <w:t xml:space="preserve">de sélection </w:t>
      </w:r>
      <w:r w:rsidRPr="00BC17AB">
        <w:rPr>
          <w:rFonts w:asciiTheme="minorHAnsi" w:hAnsiTheme="minorHAnsi" w:cstheme="minorHAnsi"/>
          <w:sz w:val="20"/>
          <w:lang w:val="fr-FR"/>
        </w:rPr>
        <w:t>Qualification des Consultants</w:t>
      </w:r>
      <w:r>
        <w:rPr>
          <w:rFonts w:asciiTheme="minorHAnsi" w:hAnsiTheme="minorHAnsi" w:cstheme="minorHAnsi"/>
          <w:sz w:val="20"/>
          <w:lang w:val="fr-FR"/>
        </w:rPr>
        <w:t xml:space="preserve">(QC) </w:t>
      </w:r>
      <w:r w:rsidRPr="00077A37">
        <w:rPr>
          <w:rFonts w:asciiTheme="minorHAnsi" w:hAnsiTheme="minorHAnsi" w:cstheme="minorHAnsi"/>
          <w:sz w:val="20"/>
          <w:lang w:val="fr-FR"/>
        </w:rPr>
        <w:t xml:space="preserve">telle que décrite dans </w:t>
      </w:r>
      <w:r>
        <w:rPr>
          <w:rFonts w:asciiTheme="minorHAnsi" w:hAnsiTheme="minorHAnsi" w:cstheme="minorHAnsi"/>
          <w:sz w:val="20"/>
          <w:lang w:val="fr-FR"/>
        </w:rPr>
        <w:t xml:space="preserve">les </w:t>
      </w:r>
      <w:r w:rsidRPr="00792C3B">
        <w:rPr>
          <w:rFonts w:asciiTheme="minorHAnsi" w:hAnsiTheme="minorHAnsi" w:cstheme="minorHAnsi"/>
          <w:sz w:val="20"/>
          <w:lang w:val="fr-FR"/>
        </w:rPr>
        <w:t>directives de sélection de la Banque Mondiale dans le cadre des prêts de la BIRD et des crédits et dons de l’AID (version janvier 2011, révision juillet 2014).</w:t>
      </w:r>
    </w:p>
    <w:p w:rsidR="00302758" w:rsidRPr="00077A37" w:rsidRDefault="00302758" w:rsidP="00302758">
      <w:pPr>
        <w:jc w:val="lowKashida"/>
        <w:rPr>
          <w:rFonts w:asciiTheme="minorHAnsi" w:hAnsiTheme="minorHAnsi" w:cstheme="minorHAnsi"/>
          <w:sz w:val="20"/>
          <w:lang w:val="fr-FR"/>
        </w:rPr>
      </w:pPr>
    </w:p>
    <w:p w:rsidR="00A75D63" w:rsidRDefault="00A75D63" w:rsidP="00A75D63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077A37">
        <w:rPr>
          <w:rFonts w:asciiTheme="minorHAnsi" w:hAnsiTheme="minorHAnsi" w:cstheme="minorHAnsi"/>
          <w:sz w:val="20"/>
          <w:lang w:val="fr-FR"/>
        </w:rPr>
        <w:t xml:space="preserve">Les termes de références peuvent être retirés auprès de la direction administrative et financière du CEPEX ou téléchargeables à partir du site web du CEPEX </w:t>
      </w:r>
      <w:hyperlink r:id="rId8" w:history="1">
        <w:r w:rsidRPr="00077A37">
          <w:rPr>
            <w:rStyle w:val="Lienhypertexte"/>
            <w:rFonts w:asciiTheme="minorHAnsi" w:hAnsiTheme="minorHAnsi" w:cstheme="minorHAnsi"/>
            <w:sz w:val="20"/>
            <w:lang w:val="fr-FR"/>
          </w:rPr>
          <w:t>www.tunisiaexport.tn</w:t>
        </w:r>
      </w:hyperlink>
      <w:r w:rsidRPr="00077A37">
        <w:rPr>
          <w:rFonts w:asciiTheme="minorHAnsi" w:hAnsiTheme="minorHAnsi" w:cstheme="minorHAnsi"/>
          <w:sz w:val="20"/>
          <w:lang w:val="fr-FR"/>
        </w:rPr>
        <w:t xml:space="preserve">. </w:t>
      </w:r>
    </w:p>
    <w:p w:rsidR="0018555A" w:rsidRDefault="0018555A" w:rsidP="005B25C9">
      <w:pPr>
        <w:jc w:val="lowKashida"/>
        <w:rPr>
          <w:rFonts w:asciiTheme="minorHAnsi" w:hAnsiTheme="minorHAnsi" w:cstheme="minorHAnsi"/>
          <w:sz w:val="20"/>
          <w:lang w:val="fr-FR"/>
        </w:rPr>
      </w:pPr>
    </w:p>
    <w:p w:rsidR="008B5E92" w:rsidRPr="008B5E92" w:rsidRDefault="008B5E92" w:rsidP="005B25C9">
      <w:pPr>
        <w:jc w:val="lowKashida"/>
        <w:rPr>
          <w:rFonts w:asciiTheme="minorHAnsi" w:hAnsiTheme="minorHAnsi" w:cstheme="minorHAnsi"/>
          <w:sz w:val="20"/>
          <w:lang w:val="fr-FR"/>
        </w:rPr>
      </w:pPr>
      <w:r w:rsidRPr="008B5E92">
        <w:rPr>
          <w:rFonts w:asciiTheme="minorHAnsi" w:hAnsiTheme="minorHAnsi" w:cstheme="minorHAnsi"/>
          <w:sz w:val="20"/>
          <w:lang w:val="fr-FR"/>
        </w:rPr>
        <w:t xml:space="preserve">Les </w:t>
      </w:r>
      <w:r w:rsidR="00A75D63">
        <w:rPr>
          <w:rFonts w:asciiTheme="minorHAnsi" w:hAnsiTheme="minorHAnsi" w:cstheme="minorHAnsi"/>
          <w:sz w:val="20"/>
          <w:lang w:val="fr-FR"/>
        </w:rPr>
        <w:t>dossiers de soumissions</w:t>
      </w:r>
      <w:r w:rsidRPr="008B5E92">
        <w:rPr>
          <w:rFonts w:asciiTheme="minorHAnsi" w:hAnsiTheme="minorHAnsi" w:cstheme="minorHAnsi"/>
          <w:sz w:val="20"/>
          <w:lang w:val="fr-FR"/>
        </w:rPr>
        <w:t xml:space="preserve"> doivent être déposées à l’adresse ci-dessous en personne ou par </w:t>
      </w:r>
      <w:r w:rsidR="00876358">
        <w:rPr>
          <w:rFonts w:asciiTheme="minorHAnsi" w:hAnsiTheme="minorHAnsi" w:cstheme="minorHAnsi"/>
          <w:sz w:val="20"/>
          <w:lang w:val="fr-FR"/>
        </w:rPr>
        <w:t>poste</w:t>
      </w:r>
      <w:r w:rsidRPr="008B5E92">
        <w:rPr>
          <w:rFonts w:asciiTheme="minorHAnsi" w:hAnsiTheme="minorHAnsi" w:cstheme="minorHAnsi"/>
          <w:sz w:val="20"/>
          <w:lang w:val="fr-FR"/>
        </w:rPr>
        <w:t xml:space="preserve"> et doivent parvenir au plus tard </w:t>
      </w:r>
      <w:r w:rsidR="00A75D63" w:rsidRPr="00A75D63">
        <w:rPr>
          <w:rFonts w:asciiTheme="minorHAnsi" w:hAnsiTheme="minorHAnsi" w:cstheme="minorHAnsi"/>
          <w:b/>
          <w:bCs/>
          <w:sz w:val="20"/>
          <w:lang w:val="fr-FR"/>
        </w:rPr>
        <w:t>mercredi 12 Juin 2019 à 12:00</w:t>
      </w:r>
      <w:r w:rsidRPr="008B5E92">
        <w:rPr>
          <w:rFonts w:asciiTheme="minorHAnsi" w:hAnsiTheme="minorHAnsi" w:cstheme="minorHAnsi"/>
          <w:sz w:val="20"/>
          <w:lang w:val="fr-FR"/>
        </w:rPr>
        <w:t>. Le cachet du bu</w:t>
      </w:r>
      <w:bookmarkStart w:id="0" w:name="_GoBack"/>
      <w:bookmarkEnd w:id="0"/>
      <w:r w:rsidRPr="008B5E92">
        <w:rPr>
          <w:rFonts w:asciiTheme="minorHAnsi" w:hAnsiTheme="minorHAnsi" w:cstheme="minorHAnsi"/>
          <w:sz w:val="20"/>
          <w:lang w:val="fr-FR"/>
        </w:rPr>
        <w:t>reau d’ordre central faisant foi.</w:t>
      </w:r>
    </w:p>
    <w:p w:rsidR="008B5E92" w:rsidRPr="008B5E92" w:rsidRDefault="008B5E92" w:rsidP="008B5E92">
      <w:pPr>
        <w:jc w:val="lowKashida"/>
        <w:rPr>
          <w:rFonts w:asciiTheme="minorHAnsi" w:hAnsiTheme="minorHAnsi" w:cstheme="minorHAnsi"/>
          <w:sz w:val="20"/>
          <w:lang w:val="fr-FR"/>
        </w:rPr>
      </w:pPr>
    </w:p>
    <w:tbl>
      <w:tblPr>
        <w:tblStyle w:val="Grilledutableau"/>
        <w:tblW w:w="10065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678"/>
      </w:tblGrid>
      <w:tr w:rsidR="008B5E92" w:rsidRPr="00876358" w:rsidTr="0018555A">
        <w:trPr>
          <w:trHeight w:val="317"/>
        </w:trPr>
        <w:tc>
          <w:tcPr>
            <w:tcW w:w="5387" w:type="dxa"/>
          </w:tcPr>
          <w:p w:rsidR="008B5E92" w:rsidRPr="008B5E92" w:rsidRDefault="008B5E92" w:rsidP="0018555A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8B5E92">
              <w:rPr>
                <w:rFonts w:asciiTheme="minorHAnsi" w:hAnsiTheme="minorHAnsi" w:cstheme="minorHAnsi"/>
                <w:sz w:val="20"/>
                <w:lang w:val="fr-FR"/>
              </w:rPr>
              <w:t>Centre de Promotion des Exportations</w:t>
            </w:r>
          </w:p>
          <w:p w:rsidR="008B5E92" w:rsidRDefault="008B5E92" w:rsidP="0018555A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8B5E92">
              <w:rPr>
                <w:rFonts w:asciiTheme="minorHAnsi" w:hAnsiTheme="minorHAnsi" w:cstheme="minorHAnsi"/>
                <w:sz w:val="20"/>
                <w:lang w:val="fr-FR"/>
              </w:rPr>
              <w:t>Centre Urbain Nord BP 225, 1080 Tunis Cedex, Tunisie</w:t>
            </w:r>
          </w:p>
        </w:tc>
        <w:tc>
          <w:tcPr>
            <w:tcW w:w="4678" w:type="dxa"/>
          </w:tcPr>
          <w:p w:rsidR="008B5E92" w:rsidRPr="008B5E92" w:rsidRDefault="008B5E92" w:rsidP="0018555A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8B5E92">
              <w:rPr>
                <w:rFonts w:asciiTheme="minorHAnsi" w:hAnsiTheme="minorHAnsi" w:cstheme="minorHAnsi"/>
                <w:sz w:val="20"/>
                <w:lang w:val="fr-FR"/>
              </w:rPr>
              <w:t xml:space="preserve">Contact : </w:t>
            </w:r>
            <w:r w:rsidR="00876358">
              <w:rPr>
                <w:rFonts w:asciiTheme="minorHAnsi" w:hAnsiTheme="minorHAnsi" w:cstheme="minorHAnsi"/>
                <w:sz w:val="20"/>
                <w:lang w:val="fr-FR"/>
              </w:rPr>
              <w:t>Direction prospective</w:t>
            </w:r>
          </w:p>
          <w:p w:rsidR="008B5E92" w:rsidRDefault="008B5E92" w:rsidP="0018555A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8B5E92">
              <w:rPr>
                <w:rFonts w:asciiTheme="minorHAnsi" w:hAnsiTheme="minorHAnsi" w:cstheme="minorHAnsi"/>
                <w:sz w:val="20"/>
                <w:lang w:val="fr-FR"/>
              </w:rPr>
              <w:t xml:space="preserve">Email : </w:t>
            </w:r>
            <w:hyperlink r:id="rId9" w:history="1">
              <w:r w:rsidR="00876358" w:rsidRPr="00AF04D7">
                <w:rPr>
                  <w:rStyle w:val="Lienhypertexte"/>
                  <w:rFonts w:asciiTheme="minorHAnsi" w:hAnsiTheme="minorHAnsi" w:cstheme="minorHAnsi"/>
                  <w:sz w:val="20"/>
                  <w:lang w:val="fr-FR"/>
                </w:rPr>
                <w:t>dir_prospective@tunisiaexport.tn</w:t>
              </w:r>
            </w:hyperlink>
          </w:p>
        </w:tc>
      </w:tr>
    </w:tbl>
    <w:p w:rsidR="00362429" w:rsidRPr="008B5E92" w:rsidRDefault="00362429" w:rsidP="00A75D63">
      <w:pPr>
        <w:jc w:val="lowKashida"/>
        <w:rPr>
          <w:rFonts w:asciiTheme="minorHAnsi" w:hAnsiTheme="minorHAnsi" w:cstheme="minorHAnsi"/>
          <w:sz w:val="20"/>
          <w:lang w:val="fr-FR"/>
        </w:rPr>
      </w:pPr>
    </w:p>
    <w:sectPr w:rsidR="00362429" w:rsidRPr="008B5E92" w:rsidSect="00A75D63">
      <w:headerReference w:type="default" r:id="rId10"/>
      <w:headerReference w:type="first" r:id="rId11"/>
      <w:endnotePr>
        <w:numFmt w:val="decimal"/>
      </w:endnotePr>
      <w:pgSz w:w="12240" w:h="15840"/>
      <w:pgMar w:top="1361" w:right="1134" w:bottom="1361" w:left="1134" w:header="720" w:footer="68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13" w:rsidRDefault="00710E13">
      <w:r>
        <w:separator/>
      </w:r>
    </w:p>
  </w:endnote>
  <w:endnote w:type="continuationSeparator" w:id="1">
    <w:p w:rsidR="00710E13" w:rsidRDefault="0071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13" w:rsidRDefault="00710E13">
      <w:r>
        <w:separator/>
      </w:r>
    </w:p>
  </w:footnote>
  <w:footnote w:type="continuationSeparator" w:id="1">
    <w:p w:rsidR="00710E13" w:rsidRDefault="0071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23" w:rsidRDefault="00583752" w:rsidP="00AB721F">
    <w:pPr>
      <w:pStyle w:val="En-tte"/>
      <w:jc w:val="both"/>
    </w:pPr>
    <w:r>
      <w:rPr>
        <w:noProof/>
        <w:lang w:val="fr-FR" w:eastAsia="fr-FR"/>
      </w:rPr>
      <w:drawing>
        <wp:inline distT="0" distB="0" distL="0" distR="0">
          <wp:extent cx="809086" cy="713517"/>
          <wp:effectExtent l="19050" t="0" r="0" b="0"/>
          <wp:docPr id="3" name="Image 3" descr="\\192.168.10.240\market com\Leila Passation congé maternité\logo\jpg\logo FR sans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\\192.168.10.240\market com\Leila Passation congé maternité\logo\jpg\logo FR sans slog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14" cy="71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62DF">
      <w:rPr>
        <w:noProof/>
        <w:lang w:val="fr-FR" w:eastAsia="fr-FR"/>
      </w:rPr>
      <w:tab/>
    </w:r>
    <w:r w:rsidR="00D162DF">
      <w:rPr>
        <w:noProof/>
        <w:lang w:val="fr-FR" w:eastAsia="fr-FR"/>
      </w:rPr>
      <w:tab/>
    </w:r>
    <w:r>
      <w:rPr>
        <w:noProof/>
        <w:color w:val="0000FF"/>
        <w:lang w:val="fr-FR" w:eastAsia="fr-FR"/>
      </w:rPr>
      <w:drawing>
        <wp:inline distT="0" distB="0" distL="0" distR="0">
          <wp:extent cx="748701" cy="735532"/>
          <wp:effectExtent l="19050" t="0" r="0" b="0"/>
          <wp:docPr id="4" name="irc_mi" descr="logo-World-Ban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-World-Ban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38" cy="73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EE" w:rsidRDefault="008E1AEE">
    <w:pPr>
      <w:pStyle w:val="En-tte"/>
      <w:tabs>
        <w:tab w:val="clear" w:pos="4320"/>
        <w:tab w:val="clear" w:pos="720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Page 1 de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432" w:legacyIndent="0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hanging="720"/>
      </w:pPr>
    </w:lvl>
    <w:lvl w:ilvl="2">
      <w:start w:val="1"/>
      <w:numFmt w:val="none"/>
      <w:pStyle w:val="Titre3"/>
      <w:suff w:val="nothing"/>
      <w:lvlText w:val=""/>
      <w:lvlJc w:val="left"/>
      <w:pPr>
        <w:ind w:left="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0" w:hanging="720"/>
      </w:pPr>
    </w:lvl>
    <w:lvl w:ilvl="4">
      <w:start w:val="1"/>
      <w:numFmt w:val="none"/>
      <w:pStyle w:val="Titre5"/>
      <w:suff w:val="nothing"/>
      <w:lvlText w:val=""/>
      <w:lvlJc w:val="left"/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1440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pStyle w:val="Titre8"/>
      <w:lvlText w:val="%8.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pStyle w:val="Titre9"/>
      <w:lvlText w:val="%9."/>
      <w:legacy w:legacy="1" w:legacySpace="0" w:legacyIndent="720"/>
      <w:lvlJc w:val="left"/>
      <w:pPr>
        <w:ind w:left="3600" w:hanging="720"/>
      </w:pPr>
    </w:lvl>
  </w:abstractNum>
  <w:abstractNum w:abstractNumId="1">
    <w:nsid w:val="26820702"/>
    <w:multiLevelType w:val="hybridMultilevel"/>
    <w:tmpl w:val="15689052"/>
    <w:lvl w:ilvl="0" w:tplc="10CCC0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97996"/>
    <w:multiLevelType w:val="hybridMultilevel"/>
    <w:tmpl w:val="865615A0"/>
    <w:lvl w:ilvl="0" w:tplc="3702C75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845497"/>
    <w:multiLevelType w:val="hybridMultilevel"/>
    <w:tmpl w:val="D73E1FE0"/>
    <w:lvl w:ilvl="0" w:tplc="963ADE6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A58A1"/>
    <w:multiLevelType w:val="hybridMultilevel"/>
    <w:tmpl w:val="5750F60C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32C4"/>
    <w:multiLevelType w:val="hybridMultilevel"/>
    <w:tmpl w:val="8708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13872"/>
    <w:multiLevelType w:val="hybridMultilevel"/>
    <w:tmpl w:val="FAEA8EDC"/>
    <w:lvl w:ilvl="0" w:tplc="963ADE6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D5358"/>
    <w:multiLevelType w:val="hybridMultilevel"/>
    <w:tmpl w:val="2586E930"/>
    <w:lvl w:ilvl="0" w:tplc="963ADE6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F50C9"/>
    <w:multiLevelType w:val="hybridMultilevel"/>
    <w:tmpl w:val="5E2E8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C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E1AEE"/>
    <w:rsid w:val="00005778"/>
    <w:rsid w:val="00006008"/>
    <w:rsid w:val="00026007"/>
    <w:rsid w:val="00027F9C"/>
    <w:rsid w:val="00035A6A"/>
    <w:rsid w:val="0005069D"/>
    <w:rsid w:val="00053D69"/>
    <w:rsid w:val="00055C9C"/>
    <w:rsid w:val="00061C8B"/>
    <w:rsid w:val="00077A37"/>
    <w:rsid w:val="000B1293"/>
    <w:rsid w:val="000D6940"/>
    <w:rsid w:val="000E3373"/>
    <w:rsid w:val="00112555"/>
    <w:rsid w:val="00113434"/>
    <w:rsid w:val="00117E77"/>
    <w:rsid w:val="0014000B"/>
    <w:rsid w:val="0016180B"/>
    <w:rsid w:val="00167A6F"/>
    <w:rsid w:val="001718B4"/>
    <w:rsid w:val="00176ED8"/>
    <w:rsid w:val="0017710D"/>
    <w:rsid w:val="0018555A"/>
    <w:rsid w:val="001B1087"/>
    <w:rsid w:val="001B75E1"/>
    <w:rsid w:val="00203E51"/>
    <w:rsid w:val="00204922"/>
    <w:rsid w:val="00234749"/>
    <w:rsid w:val="00235195"/>
    <w:rsid w:val="00236579"/>
    <w:rsid w:val="0026284E"/>
    <w:rsid w:val="00275EE4"/>
    <w:rsid w:val="002A3864"/>
    <w:rsid w:val="002B1E7C"/>
    <w:rsid w:val="002B5342"/>
    <w:rsid w:val="002D785C"/>
    <w:rsid w:val="00302758"/>
    <w:rsid w:val="003054F3"/>
    <w:rsid w:val="00335166"/>
    <w:rsid w:val="003424C5"/>
    <w:rsid w:val="00342F42"/>
    <w:rsid w:val="0035027F"/>
    <w:rsid w:val="00362429"/>
    <w:rsid w:val="003D0AFB"/>
    <w:rsid w:val="003E1EED"/>
    <w:rsid w:val="003E300A"/>
    <w:rsid w:val="00404AFB"/>
    <w:rsid w:val="00421D07"/>
    <w:rsid w:val="004244F6"/>
    <w:rsid w:val="00442C13"/>
    <w:rsid w:val="00442C99"/>
    <w:rsid w:val="0046069A"/>
    <w:rsid w:val="004641A2"/>
    <w:rsid w:val="004656E0"/>
    <w:rsid w:val="00475F02"/>
    <w:rsid w:val="00485604"/>
    <w:rsid w:val="00487AF2"/>
    <w:rsid w:val="004B46BB"/>
    <w:rsid w:val="004C0C82"/>
    <w:rsid w:val="004D7EC1"/>
    <w:rsid w:val="004E36AB"/>
    <w:rsid w:val="004F21AD"/>
    <w:rsid w:val="00523FD2"/>
    <w:rsid w:val="00551BB0"/>
    <w:rsid w:val="00552D3F"/>
    <w:rsid w:val="00583752"/>
    <w:rsid w:val="005B25C9"/>
    <w:rsid w:val="005C4D23"/>
    <w:rsid w:val="005E6382"/>
    <w:rsid w:val="005F7883"/>
    <w:rsid w:val="00606546"/>
    <w:rsid w:val="00607F99"/>
    <w:rsid w:val="00625BB4"/>
    <w:rsid w:val="00645393"/>
    <w:rsid w:val="00646ED4"/>
    <w:rsid w:val="00661F4C"/>
    <w:rsid w:val="0066778D"/>
    <w:rsid w:val="00681AF9"/>
    <w:rsid w:val="006829F4"/>
    <w:rsid w:val="00690DAA"/>
    <w:rsid w:val="007024AA"/>
    <w:rsid w:val="00703011"/>
    <w:rsid w:val="00707646"/>
    <w:rsid w:val="00710E13"/>
    <w:rsid w:val="00762FDD"/>
    <w:rsid w:val="007676D1"/>
    <w:rsid w:val="00774138"/>
    <w:rsid w:val="00792C3B"/>
    <w:rsid w:val="007950A6"/>
    <w:rsid w:val="007A060D"/>
    <w:rsid w:val="007D012C"/>
    <w:rsid w:val="00807BBC"/>
    <w:rsid w:val="00814D75"/>
    <w:rsid w:val="00835B98"/>
    <w:rsid w:val="00841811"/>
    <w:rsid w:val="008544F1"/>
    <w:rsid w:val="00867DD7"/>
    <w:rsid w:val="00876358"/>
    <w:rsid w:val="00886B0D"/>
    <w:rsid w:val="008A0BED"/>
    <w:rsid w:val="008A5476"/>
    <w:rsid w:val="008A779A"/>
    <w:rsid w:val="008B5E92"/>
    <w:rsid w:val="008E1AEE"/>
    <w:rsid w:val="009203D7"/>
    <w:rsid w:val="009247EE"/>
    <w:rsid w:val="00931A5D"/>
    <w:rsid w:val="009357EE"/>
    <w:rsid w:val="00964F7E"/>
    <w:rsid w:val="009730E9"/>
    <w:rsid w:val="00985141"/>
    <w:rsid w:val="009926B5"/>
    <w:rsid w:val="009A5802"/>
    <w:rsid w:val="009B60B1"/>
    <w:rsid w:val="009C39D6"/>
    <w:rsid w:val="009D0EA0"/>
    <w:rsid w:val="009D672E"/>
    <w:rsid w:val="00A11C53"/>
    <w:rsid w:val="00A350AE"/>
    <w:rsid w:val="00A427C3"/>
    <w:rsid w:val="00A61366"/>
    <w:rsid w:val="00A61885"/>
    <w:rsid w:val="00A73344"/>
    <w:rsid w:val="00A75D63"/>
    <w:rsid w:val="00A77851"/>
    <w:rsid w:val="00A90CA1"/>
    <w:rsid w:val="00AA256C"/>
    <w:rsid w:val="00AB29C0"/>
    <w:rsid w:val="00AB721F"/>
    <w:rsid w:val="00AC1B44"/>
    <w:rsid w:val="00AC5105"/>
    <w:rsid w:val="00B315EE"/>
    <w:rsid w:val="00B3685F"/>
    <w:rsid w:val="00B429EB"/>
    <w:rsid w:val="00B60A72"/>
    <w:rsid w:val="00B642DB"/>
    <w:rsid w:val="00B95817"/>
    <w:rsid w:val="00BA0E94"/>
    <w:rsid w:val="00BA40BC"/>
    <w:rsid w:val="00BC17AB"/>
    <w:rsid w:val="00C00581"/>
    <w:rsid w:val="00C2489F"/>
    <w:rsid w:val="00C279EE"/>
    <w:rsid w:val="00C725ED"/>
    <w:rsid w:val="00C82798"/>
    <w:rsid w:val="00C97798"/>
    <w:rsid w:val="00CA1C8B"/>
    <w:rsid w:val="00CC281A"/>
    <w:rsid w:val="00D162DF"/>
    <w:rsid w:val="00D23E25"/>
    <w:rsid w:val="00D2494F"/>
    <w:rsid w:val="00D54E2A"/>
    <w:rsid w:val="00D649A9"/>
    <w:rsid w:val="00D7492D"/>
    <w:rsid w:val="00D757CE"/>
    <w:rsid w:val="00D76AC9"/>
    <w:rsid w:val="00D778C1"/>
    <w:rsid w:val="00D87FD6"/>
    <w:rsid w:val="00DB326E"/>
    <w:rsid w:val="00DD14B9"/>
    <w:rsid w:val="00DF40F1"/>
    <w:rsid w:val="00E01595"/>
    <w:rsid w:val="00E02A21"/>
    <w:rsid w:val="00E066AC"/>
    <w:rsid w:val="00E146BD"/>
    <w:rsid w:val="00E173F6"/>
    <w:rsid w:val="00E67387"/>
    <w:rsid w:val="00E85432"/>
    <w:rsid w:val="00EE0C01"/>
    <w:rsid w:val="00EE2DA8"/>
    <w:rsid w:val="00F12B01"/>
    <w:rsid w:val="00F16413"/>
    <w:rsid w:val="00F31E7B"/>
    <w:rsid w:val="00F33AF5"/>
    <w:rsid w:val="00F34A02"/>
    <w:rsid w:val="00F93F3D"/>
    <w:rsid w:val="00F94861"/>
    <w:rsid w:val="00FA0A79"/>
    <w:rsid w:val="00FA2BE8"/>
    <w:rsid w:val="00FA5987"/>
    <w:rsid w:val="00FF1903"/>
    <w:rsid w:val="00FF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32"/>
    <w:rPr>
      <w:sz w:val="24"/>
      <w:lang w:val="en-US" w:eastAsia="en-US"/>
    </w:rPr>
  </w:style>
  <w:style w:type="paragraph" w:styleId="Titre1">
    <w:name w:val="heading 1"/>
    <w:basedOn w:val="Normal"/>
    <w:next w:val="BankNormal"/>
    <w:qFormat/>
    <w:rsid w:val="00E85432"/>
    <w:pPr>
      <w:keepNext/>
      <w:keepLines/>
      <w:numPr>
        <w:numId w:val="1"/>
      </w:numPr>
      <w:spacing w:before="1440" w:after="240"/>
      <w:jc w:val="center"/>
      <w:outlineLvl w:val="0"/>
    </w:pPr>
    <w:rPr>
      <w:b/>
      <w:caps/>
      <w:sz w:val="32"/>
    </w:rPr>
  </w:style>
  <w:style w:type="paragraph" w:styleId="Titre2">
    <w:name w:val="heading 2"/>
    <w:basedOn w:val="Normal"/>
    <w:next w:val="BankNormal"/>
    <w:qFormat/>
    <w:rsid w:val="00E85432"/>
    <w:pPr>
      <w:keepNext/>
      <w:keepLines/>
      <w:numPr>
        <w:ilvl w:val="1"/>
        <w:numId w:val="1"/>
      </w:numPr>
      <w:spacing w:before="120" w:after="240"/>
      <w:ind w:firstLine="0"/>
      <w:jc w:val="center"/>
      <w:outlineLvl w:val="1"/>
    </w:pPr>
    <w:rPr>
      <w:b/>
      <w:smallCaps/>
    </w:rPr>
  </w:style>
  <w:style w:type="paragraph" w:styleId="Titre3">
    <w:name w:val="heading 3"/>
    <w:basedOn w:val="Normal"/>
    <w:next w:val="BankNormal"/>
    <w:qFormat/>
    <w:rsid w:val="00E85432"/>
    <w:pPr>
      <w:keepNext/>
      <w:keepLines/>
      <w:numPr>
        <w:ilvl w:val="2"/>
        <w:numId w:val="1"/>
      </w:numPr>
      <w:spacing w:before="120" w:after="240"/>
      <w:ind w:firstLine="0"/>
      <w:outlineLvl w:val="2"/>
    </w:pPr>
    <w:rPr>
      <w:b/>
    </w:rPr>
  </w:style>
  <w:style w:type="paragraph" w:styleId="Titre4">
    <w:name w:val="heading 4"/>
    <w:basedOn w:val="Normal"/>
    <w:next w:val="BankNormal"/>
    <w:qFormat/>
    <w:rsid w:val="00E85432"/>
    <w:pPr>
      <w:keepNext/>
      <w:keepLines/>
      <w:numPr>
        <w:ilvl w:val="3"/>
        <w:numId w:val="1"/>
      </w:numPr>
      <w:spacing w:before="120" w:after="240"/>
      <w:ind w:firstLine="0"/>
      <w:outlineLvl w:val="3"/>
    </w:pPr>
    <w:rPr>
      <w:b/>
      <w:i/>
    </w:rPr>
  </w:style>
  <w:style w:type="paragraph" w:styleId="Titre5">
    <w:name w:val="heading 5"/>
    <w:basedOn w:val="Normal"/>
    <w:next w:val="BankNormal"/>
    <w:qFormat/>
    <w:rsid w:val="00E85432"/>
    <w:pPr>
      <w:numPr>
        <w:ilvl w:val="4"/>
        <w:numId w:val="1"/>
      </w:numPr>
      <w:spacing w:after="240"/>
      <w:outlineLvl w:val="4"/>
    </w:pPr>
  </w:style>
  <w:style w:type="paragraph" w:styleId="Titre6">
    <w:name w:val="heading 6"/>
    <w:basedOn w:val="Normal"/>
    <w:next w:val="BankNormal"/>
    <w:qFormat/>
    <w:rsid w:val="00E85432"/>
    <w:pPr>
      <w:numPr>
        <w:ilvl w:val="5"/>
        <w:numId w:val="1"/>
      </w:numPr>
      <w:spacing w:after="240"/>
      <w:outlineLvl w:val="5"/>
    </w:pPr>
  </w:style>
  <w:style w:type="paragraph" w:styleId="Titre7">
    <w:name w:val="heading 7"/>
    <w:basedOn w:val="Normal"/>
    <w:next w:val="BankNormal"/>
    <w:qFormat/>
    <w:rsid w:val="00E85432"/>
    <w:pPr>
      <w:numPr>
        <w:ilvl w:val="6"/>
        <w:numId w:val="1"/>
      </w:numPr>
      <w:spacing w:after="240"/>
      <w:outlineLvl w:val="6"/>
    </w:pPr>
  </w:style>
  <w:style w:type="paragraph" w:styleId="Titre8">
    <w:name w:val="heading 8"/>
    <w:basedOn w:val="Normal"/>
    <w:next w:val="BankNormal"/>
    <w:qFormat/>
    <w:rsid w:val="00E85432"/>
    <w:pPr>
      <w:numPr>
        <w:ilvl w:val="7"/>
        <w:numId w:val="1"/>
      </w:numPr>
      <w:spacing w:after="240"/>
      <w:outlineLvl w:val="7"/>
    </w:pPr>
  </w:style>
  <w:style w:type="paragraph" w:styleId="Titre9">
    <w:name w:val="heading 9"/>
    <w:basedOn w:val="Normal"/>
    <w:next w:val="BankNormal"/>
    <w:qFormat/>
    <w:rsid w:val="00E85432"/>
    <w:pPr>
      <w:numPr>
        <w:ilvl w:val="8"/>
        <w:numId w:val="1"/>
      </w:numPr>
      <w:spacing w:after="24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nkNormal">
    <w:name w:val="BankNormal"/>
    <w:basedOn w:val="Normal"/>
    <w:rsid w:val="00E85432"/>
    <w:pPr>
      <w:spacing w:after="240"/>
    </w:pPr>
  </w:style>
  <w:style w:type="paragraph" w:customStyle="1" w:styleId="ChapterNumber">
    <w:name w:val="ChapterNumber"/>
    <w:basedOn w:val="Normal"/>
    <w:next w:val="Normal"/>
    <w:rsid w:val="00E85432"/>
    <w:pPr>
      <w:spacing w:after="360"/>
    </w:pPr>
  </w:style>
  <w:style w:type="paragraph" w:styleId="Pieddepage">
    <w:name w:val="footer"/>
    <w:basedOn w:val="Normal"/>
    <w:rsid w:val="00E85432"/>
    <w:pPr>
      <w:tabs>
        <w:tab w:val="center" w:pos="4320"/>
        <w:tab w:val="right" w:pos="8640"/>
      </w:tabs>
    </w:pPr>
  </w:style>
  <w:style w:type="character" w:styleId="Appelnotedebasdep">
    <w:name w:val="footnote reference"/>
    <w:semiHidden/>
    <w:rsid w:val="00E85432"/>
    <w:rPr>
      <w:rFonts w:ascii="Times New Roman" w:hAnsi="Times New Roman"/>
      <w:position w:val="0"/>
      <w:sz w:val="24"/>
      <w:vertAlign w:val="superscript"/>
    </w:rPr>
  </w:style>
  <w:style w:type="paragraph" w:styleId="Notedebasdepage">
    <w:name w:val="footnote text"/>
    <w:basedOn w:val="Normal"/>
    <w:semiHidden/>
    <w:rsid w:val="00E85432"/>
    <w:pPr>
      <w:spacing w:after="120"/>
      <w:ind w:left="432" w:hanging="432"/>
    </w:pPr>
    <w:rPr>
      <w:sz w:val="20"/>
    </w:rPr>
  </w:style>
  <w:style w:type="paragraph" w:styleId="En-tte">
    <w:name w:val="header"/>
    <w:basedOn w:val="Normal"/>
    <w:rsid w:val="00E85432"/>
    <w:pPr>
      <w:tabs>
        <w:tab w:val="center" w:pos="4320"/>
        <w:tab w:val="left" w:pos="7200"/>
      </w:tabs>
    </w:pPr>
  </w:style>
  <w:style w:type="paragraph" w:styleId="Retraitnormal">
    <w:name w:val="Normal Indent"/>
    <w:basedOn w:val="Normal"/>
    <w:rsid w:val="00E85432"/>
    <w:pPr>
      <w:ind w:left="720"/>
    </w:pPr>
  </w:style>
  <w:style w:type="paragraph" w:customStyle="1" w:styleId="TextBox">
    <w:name w:val="Text Box"/>
    <w:basedOn w:val="Normal"/>
    <w:rsid w:val="00E85432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paragraph" w:customStyle="1" w:styleId="TextBoxdots">
    <w:name w:val="Text Box (dots)"/>
    <w:basedOn w:val="Normal"/>
    <w:rsid w:val="00E85432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rsid w:val="00E85432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rsid w:val="00E85432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M1">
    <w:name w:val="toc 1"/>
    <w:basedOn w:val="Normal"/>
    <w:next w:val="Normal"/>
    <w:semiHidden/>
    <w:rsid w:val="00E85432"/>
    <w:pPr>
      <w:tabs>
        <w:tab w:val="right" w:leader="dot" w:pos="9360"/>
      </w:tabs>
    </w:pPr>
    <w:rPr>
      <w:caps/>
    </w:rPr>
  </w:style>
  <w:style w:type="paragraph" w:styleId="TM2">
    <w:name w:val="toc 2"/>
    <w:basedOn w:val="Normal"/>
    <w:next w:val="Normal"/>
    <w:semiHidden/>
    <w:rsid w:val="00E85432"/>
    <w:pPr>
      <w:tabs>
        <w:tab w:val="right" w:leader="dot" w:pos="9360"/>
      </w:tabs>
      <w:ind w:left="720"/>
    </w:pPr>
    <w:rPr>
      <w:smallCaps/>
    </w:rPr>
  </w:style>
  <w:style w:type="paragraph" w:styleId="TM3">
    <w:name w:val="toc 3"/>
    <w:basedOn w:val="Normal"/>
    <w:next w:val="Normal"/>
    <w:semiHidden/>
    <w:rsid w:val="00E85432"/>
    <w:pPr>
      <w:tabs>
        <w:tab w:val="right" w:leader="dot" w:pos="9360"/>
      </w:tabs>
      <w:ind w:left="1440"/>
    </w:pPr>
  </w:style>
  <w:style w:type="paragraph" w:styleId="TM4">
    <w:name w:val="toc 4"/>
    <w:basedOn w:val="Normal"/>
    <w:next w:val="Normal"/>
    <w:semiHidden/>
    <w:rsid w:val="00E85432"/>
    <w:pPr>
      <w:tabs>
        <w:tab w:val="right" w:leader="dot" w:pos="9360"/>
      </w:tabs>
      <w:ind w:left="2160"/>
    </w:pPr>
  </w:style>
  <w:style w:type="paragraph" w:styleId="TM5">
    <w:name w:val="toc 5"/>
    <w:basedOn w:val="Normal"/>
    <w:next w:val="Normal"/>
    <w:semiHidden/>
    <w:rsid w:val="00E85432"/>
    <w:pPr>
      <w:tabs>
        <w:tab w:val="right" w:leader="dot" w:pos="9360"/>
      </w:tabs>
      <w:ind w:left="2880"/>
    </w:pPr>
    <w:rPr>
      <w:sz w:val="18"/>
    </w:rPr>
  </w:style>
  <w:style w:type="paragraph" w:customStyle="1" w:styleId="Heading1a">
    <w:name w:val="Heading 1a"/>
    <w:basedOn w:val="Titre1"/>
    <w:next w:val="BankNormal"/>
    <w:rsid w:val="00E85432"/>
    <w:pPr>
      <w:outlineLvl w:val="9"/>
    </w:pPr>
  </w:style>
  <w:style w:type="paragraph" w:styleId="TM6">
    <w:name w:val="toc 6"/>
    <w:basedOn w:val="Normal"/>
    <w:next w:val="Normal"/>
    <w:semiHidden/>
    <w:rsid w:val="00E85432"/>
    <w:pPr>
      <w:tabs>
        <w:tab w:val="right" w:leader="dot" w:pos="9360"/>
      </w:tabs>
      <w:ind w:left="3600"/>
    </w:pPr>
    <w:rPr>
      <w:sz w:val="18"/>
    </w:rPr>
  </w:style>
  <w:style w:type="paragraph" w:styleId="TM7">
    <w:name w:val="toc 7"/>
    <w:basedOn w:val="Normal"/>
    <w:next w:val="Normal"/>
    <w:semiHidden/>
    <w:rsid w:val="00E85432"/>
    <w:pPr>
      <w:tabs>
        <w:tab w:val="right" w:leader="dot" w:pos="9360"/>
      </w:tabs>
      <w:ind w:left="1200"/>
    </w:pPr>
    <w:rPr>
      <w:sz w:val="18"/>
    </w:rPr>
  </w:style>
  <w:style w:type="paragraph" w:styleId="TM8">
    <w:name w:val="toc 8"/>
    <w:basedOn w:val="Normal"/>
    <w:next w:val="Normal"/>
    <w:semiHidden/>
    <w:rsid w:val="00E85432"/>
    <w:pPr>
      <w:tabs>
        <w:tab w:val="right" w:leader="dot" w:pos="9360"/>
      </w:tabs>
      <w:ind w:left="1440"/>
    </w:pPr>
    <w:rPr>
      <w:sz w:val="18"/>
    </w:rPr>
  </w:style>
  <w:style w:type="paragraph" w:styleId="TM9">
    <w:name w:val="toc 9"/>
    <w:basedOn w:val="Normal"/>
    <w:next w:val="Normal"/>
    <w:semiHidden/>
    <w:rsid w:val="00E85432"/>
    <w:pPr>
      <w:tabs>
        <w:tab w:val="right" w:leader="dot" w:pos="9360"/>
      </w:tabs>
      <w:ind w:left="1680"/>
    </w:pPr>
    <w:rPr>
      <w:sz w:val="18"/>
    </w:rPr>
  </w:style>
  <w:style w:type="paragraph" w:styleId="Textedemacro">
    <w:name w:val="macro"/>
    <w:semiHidden/>
    <w:rsid w:val="00E8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character" w:customStyle="1" w:styleId="DefaultParagraphFo">
    <w:name w:val="Default Paragraph Fo"/>
    <w:basedOn w:val="Policepardfaut"/>
    <w:rsid w:val="00E85432"/>
  </w:style>
  <w:style w:type="paragraph" w:customStyle="1" w:styleId="TM11">
    <w:name w:val="TM 11"/>
    <w:rsid w:val="00E85432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character" w:customStyle="1" w:styleId="EquationCaption">
    <w:name w:val="_Equation Caption"/>
    <w:rsid w:val="00E85432"/>
  </w:style>
  <w:style w:type="paragraph" w:styleId="Notedefin">
    <w:name w:val="endnote text"/>
    <w:basedOn w:val="Normal"/>
    <w:semiHidden/>
    <w:rsid w:val="00E85432"/>
    <w:rPr>
      <w:sz w:val="20"/>
    </w:rPr>
  </w:style>
  <w:style w:type="character" w:styleId="Appeldenotedefin">
    <w:name w:val="endnote reference"/>
    <w:semiHidden/>
    <w:rsid w:val="00E85432"/>
    <w:rPr>
      <w:vertAlign w:val="superscript"/>
    </w:rPr>
  </w:style>
  <w:style w:type="paragraph" w:styleId="Corpsdetexte">
    <w:name w:val="Body Text"/>
    <w:basedOn w:val="Normal"/>
    <w:link w:val="CorpsdetexteCar"/>
    <w:rsid w:val="00362429"/>
    <w:pPr>
      <w:suppressAutoHyphens/>
    </w:pPr>
    <w:rPr>
      <w:rFonts w:ascii="CG Times" w:hAnsi="CG Times"/>
      <w:spacing w:val="-2"/>
    </w:rPr>
  </w:style>
  <w:style w:type="character" w:customStyle="1" w:styleId="CorpsdetexteCar">
    <w:name w:val="Corps de texte Car"/>
    <w:link w:val="Corpsdetexte"/>
    <w:rsid w:val="00362429"/>
    <w:rPr>
      <w:rFonts w:ascii="CG Times" w:hAnsi="CG Times"/>
      <w:spacing w:val="-2"/>
      <w:sz w:val="24"/>
    </w:rPr>
  </w:style>
  <w:style w:type="paragraph" w:styleId="Textedebulles">
    <w:name w:val="Balloon Text"/>
    <w:basedOn w:val="Normal"/>
    <w:link w:val="TextedebullesCar"/>
    <w:rsid w:val="00E6738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67387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E67387"/>
    <w:rPr>
      <w:sz w:val="16"/>
      <w:szCs w:val="16"/>
    </w:rPr>
  </w:style>
  <w:style w:type="paragraph" w:styleId="Commentaire">
    <w:name w:val="annotation text"/>
    <w:basedOn w:val="Normal"/>
    <w:link w:val="CommentaireCar"/>
    <w:rsid w:val="00E67387"/>
    <w:rPr>
      <w:sz w:val="20"/>
    </w:rPr>
  </w:style>
  <w:style w:type="character" w:customStyle="1" w:styleId="CommentaireCar">
    <w:name w:val="Commentaire Car"/>
    <w:basedOn w:val="Policepardfaut"/>
    <w:link w:val="Commentaire"/>
    <w:rsid w:val="00E67387"/>
  </w:style>
  <w:style w:type="paragraph" w:styleId="Objetducommentaire">
    <w:name w:val="annotation subject"/>
    <w:basedOn w:val="Commentaire"/>
    <w:next w:val="Commentaire"/>
    <w:link w:val="ObjetducommentaireCar"/>
    <w:rsid w:val="00E67387"/>
    <w:rPr>
      <w:b/>
      <w:bCs/>
    </w:rPr>
  </w:style>
  <w:style w:type="character" w:customStyle="1" w:styleId="ObjetducommentaireCar">
    <w:name w:val="Objet du commentaire Car"/>
    <w:link w:val="Objetducommentaire"/>
    <w:rsid w:val="00E67387"/>
    <w:rPr>
      <w:b/>
      <w:bCs/>
    </w:rPr>
  </w:style>
  <w:style w:type="paragraph" w:styleId="Paragraphedeliste">
    <w:name w:val="List Paragraph"/>
    <w:aliases w:val="List Paragraph (numbered (a)),Use Case List Paragraph,Liste couleur - Accent 11,Bullets,Liste couleur - Accent 12,References,Liste 1,Numbered List Paragraph,ReferencesCxSpLast,123 List Paragraph,Citation List,본문(내용),List Paragraph1"/>
    <w:basedOn w:val="Normal"/>
    <w:link w:val="ParagraphedelisteCar"/>
    <w:uiPriority w:val="34"/>
    <w:qFormat/>
    <w:rsid w:val="00055C9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55C9C"/>
    <w:rPr>
      <w:color w:val="0000FF"/>
      <w:u w:val="single"/>
    </w:rPr>
  </w:style>
  <w:style w:type="paragraph" w:customStyle="1" w:styleId="Style">
    <w:name w:val="Style"/>
    <w:rsid w:val="00055C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lledutableau">
    <w:name w:val="Table Grid"/>
    <w:basedOn w:val="TableauNormal"/>
    <w:rsid w:val="008B5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 Paragraph (numbered (a)) Car,Use Case List Paragraph Car,Liste couleur - Accent 11 Car,Bullets Car,Liste couleur - Accent 12 Car,References Car,Liste 1 Car,Numbered List Paragraph Car,ReferencesCxSpLast Car,Citation List Car"/>
    <w:link w:val="Paragraphedeliste"/>
    <w:uiPriority w:val="34"/>
    <w:qFormat/>
    <w:locked/>
    <w:rsid w:val="00BC17AB"/>
    <w:rPr>
      <w:rFonts w:ascii="Calibri" w:hAnsi="Calibri" w:cs="Arial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763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isiaexport.t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_prospective@tunisiaexport.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tn/url?sa=i&amp;rct=j&amp;q=&amp;esrc=s&amp;frm=1&amp;source=images&amp;cd=&amp;ved=0ahUKEwi97eKXhbjKAhXIORQKHRz6DFEQjRwIBw&amp;url=https://usa.greengrowthbond.com/what-are-the-world-bank-green-bonds/&amp;bvm=bv.112064104,d.d24&amp;psig=AFQjCNGNApIArcK8JbAD695UElE94J3P9Q&amp;ust=14533671651048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0EE1-64A0-4A55-8C9C-BEDA1E78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SELECTION DE CONSULTANTS PAR LES EMPRUNTEURS DE LA BANQUE</vt:lpstr>
      <vt:lpstr>SELECTION DE CONSULTANTS PAR LES EMPRUNTEURS DE LA BANQUE</vt:lpstr>
    </vt:vector>
  </TitlesOfParts>
  <Company>The World Bank Group</Company>
  <LinksUpToDate>false</LinksUpToDate>
  <CharactersWithSpaces>3225</CharactersWithSpaces>
  <SharedDoc>false</SharedDoc>
  <HLinks>
    <vt:vector size="18" baseType="variant"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mailto:lel-fakhfakh@tunisiaexport.tn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http://www.tunisiaexport.tn/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s://www.google.tn/url?sa=i&amp;rct=j&amp;q=&amp;esrc=s&amp;frm=1&amp;source=images&amp;cd=&amp;ved=0ahUKEwi97eKXhbjKAhXIORQKHRz6DFEQjRwIBw&amp;url=https%3A%2F%2Fusa.greengrowthbond.com%2Fwhat-are-the-world-bank-green-bonds%2F&amp;bvm=bv.112064104,d.d24&amp;psig=AFQjCNGNApIArcK8JbAD695UElE94J3P9Q&amp;ust=1453367165104862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DE CONSULTANTS PAR LES EMPRUNTEURS DE LA BANQUE</dc:title>
  <dc:creator>Sabine Mabrouk</dc:creator>
  <cp:lastModifiedBy>Utilisateur Windows</cp:lastModifiedBy>
  <cp:revision>2</cp:revision>
  <cp:lastPrinted>2016-01-28T10:38:00Z</cp:lastPrinted>
  <dcterms:created xsi:type="dcterms:W3CDTF">2019-05-19T19:59:00Z</dcterms:created>
  <dcterms:modified xsi:type="dcterms:W3CDTF">2019-05-19T19:59:00Z</dcterms:modified>
</cp:coreProperties>
</file>